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B9D" w:rsidRDefault="00574449" w:rsidP="00574449">
      <w:pPr>
        <w:rPr>
          <w:rFonts w:ascii="Arial" w:hAnsi="Arial" w:cs="Arial"/>
        </w:rPr>
      </w:pPr>
      <w:r w:rsidRPr="00574449">
        <w:rPr>
          <w:rFonts w:ascii="Arial" w:hAnsi="Arial" w:cs="Arial"/>
        </w:rPr>
        <w:t xml:space="preserve">Con respecto a los comentarios indicados en: </w:t>
      </w:r>
      <w:r w:rsidRPr="00620EC1">
        <w:rPr>
          <w:rFonts w:ascii="Arial" w:hAnsi="Arial" w:cs="Arial"/>
          <w:b/>
          <w:u w:val="single"/>
        </w:rPr>
        <w:t>INFORME DE EVALUACIÓN DEL ARTÍCULO “Método para estimar las constantes de la ley logarítmica” REVISTA TECNOLOGÍA Y CIENCIAS DEL AGUA</w:t>
      </w:r>
      <w:r w:rsidR="00620EC1">
        <w:rPr>
          <w:rFonts w:ascii="Arial" w:hAnsi="Arial" w:cs="Arial"/>
        </w:rPr>
        <w:t>; se emiten las siguientes respuestas.</w:t>
      </w:r>
    </w:p>
    <w:p w:rsidR="0068125C" w:rsidRDefault="0068125C" w:rsidP="00574449">
      <w:pPr>
        <w:rPr>
          <w:rFonts w:ascii="Arial" w:hAnsi="Arial" w:cs="Arial"/>
        </w:rPr>
      </w:pPr>
      <w:r>
        <w:rPr>
          <w:rFonts w:ascii="Arial" w:hAnsi="Arial" w:cs="Arial"/>
        </w:rPr>
        <w:t xml:space="preserve">1.- </w:t>
      </w:r>
      <w:r w:rsidR="006C6973" w:rsidRPr="00650709">
        <w:rPr>
          <w:rFonts w:ascii="Arial" w:hAnsi="Arial" w:cs="Arial"/>
          <w:b/>
        </w:rPr>
        <w:t>En relación con el párrafo siguiente:</w:t>
      </w:r>
      <w:r w:rsidR="006C6973">
        <w:rPr>
          <w:rFonts w:ascii="Arial" w:hAnsi="Arial" w:cs="Arial"/>
        </w:rPr>
        <w:t xml:space="preserve"> </w:t>
      </w:r>
    </w:p>
    <w:p w:rsidR="0068125C" w:rsidRDefault="0068125C" w:rsidP="00574449">
      <w:pPr>
        <w:rPr>
          <w:rFonts w:ascii="Arial" w:hAnsi="Arial" w:cs="Arial"/>
        </w:rPr>
      </w:pPr>
      <w:r>
        <w:rPr>
          <w:noProof/>
        </w:rPr>
        <w:drawing>
          <wp:inline distT="0" distB="0" distL="0" distR="0" wp14:anchorId="4EFA72B7" wp14:editId="309E8BFC">
            <wp:extent cx="5505450" cy="790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05450" cy="790575"/>
                    </a:xfrm>
                    <a:prstGeom prst="rect">
                      <a:avLst/>
                    </a:prstGeom>
                  </pic:spPr>
                </pic:pic>
              </a:graphicData>
            </a:graphic>
          </wp:inline>
        </w:drawing>
      </w:r>
    </w:p>
    <w:p w:rsidR="00620EC1" w:rsidRDefault="00E71C52" w:rsidP="006F7189">
      <w:pPr>
        <w:jc w:val="both"/>
        <w:rPr>
          <w:rFonts w:ascii="Arial" w:hAnsi="Arial" w:cs="Arial"/>
        </w:rPr>
      </w:pPr>
      <w:r>
        <w:rPr>
          <w:rFonts w:ascii="Arial" w:hAnsi="Arial" w:cs="Arial"/>
        </w:rPr>
        <w:t xml:space="preserve">R.- Se considero apropiado el </w:t>
      </w:r>
      <w:r w:rsidR="00667889">
        <w:rPr>
          <w:rFonts w:ascii="Arial" w:hAnsi="Arial" w:cs="Arial"/>
        </w:rPr>
        <w:t>título</w:t>
      </w:r>
      <w:r>
        <w:rPr>
          <w:rFonts w:ascii="Arial" w:hAnsi="Arial" w:cs="Arial"/>
        </w:rPr>
        <w:t xml:space="preserve"> </w:t>
      </w:r>
      <w:r w:rsidR="00667889">
        <w:rPr>
          <w:rFonts w:ascii="Arial" w:hAnsi="Arial" w:cs="Arial"/>
        </w:rPr>
        <w:t xml:space="preserve">en forma </w:t>
      </w:r>
      <w:r>
        <w:rPr>
          <w:rFonts w:ascii="Arial" w:hAnsi="Arial" w:cs="Arial"/>
        </w:rPr>
        <w:t>general</w:t>
      </w:r>
      <w:r w:rsidR="00C61931">
        <w:rPr>
          <w:rFonts w:ascii="Arial" w:hAnsi="Arial" w:cs="Arial"/>
        </w:rPr>
        <w:t>izad</w:t>
      </w:r>
      <w:r w:rsidR="00667889">
        <w:rPr>
          <w:rFonts w:ascii="Arial" w:hAnsi="Arial" w:cs="Arial"/>
        </w:rPr>
        <w:t>a</w:t>
      </w:r>
      <w:r>
        <w:rPr>
          <w:rFonts w:ascii="Arial" w:hAnsi="Arial" w:cs="Arial"/>
        </w:rPr>
        <w:t xml:space="preserve">, </w:t>
      </w:r>
      <w:r w:rsidR="00667889">
        <w:rPr>
          <w:rFonts w:ascii="Arial" w:hAnsi="Arial" w:cs="Arial"/>
        </w:rPr>
        <w:t>ya</w:t>
      </w:r>
      <w:r w:rsidR="00C61931">
        <w:rPr>
          <w:rFonts w:ascii="Arial" w:hAnsi="Arial" w:cs="Arial"/>
        </w:rPr>
        <w:t xml:space="preserve"> que se tienen casos especiales (flujos de gradiente de presión cero) donde la ley logarítmica puede aplicarse más allá de la cercanía de la pared. Algunos casos de estos estudios están citados en el texto</w:t>
      </w:r>
      <w:r w:rsidR="006F7189">
        <w:rPr>
          <w:rFonts w:ascii="Arial" w:hAnsi="Arial" w:cs="Arial"/>
        </w:rPr>
        <w:t xml:space="preserve">, con esto se pretende no limitar el método que se propone a casos de flujo en canales, </w:t>
      </w:r>
      <w:r w:rsidR="0025619C">
        <w:rPr>
          <w:rFonts w:ascii="Arial" w:hAnsi="Arial" w:cs="Arial"/>
        </w:rPr>
        <w:t>y,</w:t>
      </w:r>
      <w:r w:rsidR="006F7189">
        <w:rPr>
          <w:rFonts w:ascii="Arial" w:hAnsi="Arial" w:cs="Arial"/>
        </w:rPr>
        <w:t xml:space="preserve"> por </w:t>
      </w:r>
      <w:r w:rsidR="0025619C">
        <w:rPr>
          <w:rFonts w:ascii="Arial" w:hAnsi="Arial" w:cs="Arial"/>
        </w:rPr>
        <w:t xml:space="preserve">tanto, </w:t>
      </w:r>
      <w:r w:rsidR="006F7189">
        <w:rPr>
          <w:rFonts w:ascii="Arial" w:hAnsi="Arial" w:cs="Arial"/>
        </w:rPr>
        <w:t xml:space="preserve">su aplicación se deja abierta </w:t>
      </w:r>
      <w:r w:rsidR="0025619C">
        <w:rPr>
          <w:rFonts w:ascii="Arial" w:hAnsi="Arial" w:cs="Arial"/>
        </w:rPr>
        <w:t>en función de</w:t>
      </w:r>
      <w:r w:rsidR="00004EA3">
        <w:rPr>
          <w:rFonts w:ascii="Arial" w:hAnsi="Arial" w:cs="Arial"/>
        </w:rPr>
        <w:t xml:space="preserve"> </w:t>
      </w:r>
      <w:r w:rsidR="006F7189">
        <w:rPr>
          <w:rFonts w:ascii="Arial" w:hAnsi="Arial" w:cs="Arial"/>
        </w:rPr>
        <w:t>las condiciones del flujo.</w:t>
      </w:r>
    </w:p>
    <w:p w:rsidR="0001653C" w:rsidRDefault="0001653C" w:rsidP="006F7189">
      <w:pPr>
        <w:jc w:val="both"/>
        <w:rPr>
          <w:rFonts w:ascii="Arial" w:hAnsi="Arial" w:cs="Arial"/>
        </w:rPr>
      </w:pPr>
    </w:p>
    <w:p w:rsidR="00DE7D39" w:rsidRDefault="0001653C" w:rsidP="006F7189">
      <w:pPr>
        <w:jc w:val="both"/>
        <w:rPr>
          <w:noProof/>
        </w:rPr>
      </w:pPr>
      <w:r>
        <w:rPr>
          <w:rFonts w:ascii="Arial" w:hAnsi="Arial" w:cs="Arial"/>
        </w:rPr>
        <w:t xml:space="preserve">2.- </w:t>
      </w:r>
      <w:r w:rsidR="00DE7D39" w:rsidRPr="00650709">
        <w:rPr>
          <w:rFonts w:ascii="Arial" w:hAnsi="Arial" w:cs="Arial"/>
          <w:b/>
        </w:rPr>
        <w:t xml:space="preserve">En relación con </w:t>
      </w:r>
      <w:r w:rsidR="00DE7D39">
        <w:rPr>
          <w:rFonts w:ascii="Arial" w:hAnsi="Arial" w:cs="Arial"/>
          <w:b/>
        </w:rPr>
        <w:t>los</w:t>
      </w:r>
      <w:r w:rsidR="00DE7D39" w:rsidRPr="00650709">
        <w:rPr>
          <w:rFonts w:ascii="Arial" w:hAnsi="Arial" w:cs="Arial"/>
          <w:b/>
        </w:rPr>
        <w:t xml:space="preserve"> párrafo</w:t>
      </w:r>
      <w:r w:rsidR="00DE7D39">
        <w:rPr>
          <w:rFonts w:ascii="Arial" w:hAnsi="Arial" w:cs="Arial"/>
          <w:b/>
        </w:rPr>
        <w:t>s</w:t>
      </w:r>
      <w:r w:rsidR="00DE7D39" w:rsidRPr="00650709">
        <w:rPr>
          <w:rFonts w:ascii="Arial" w:hAnsi="Arial" w:cs="Arial"/>
          <w:b/>
        </w:rPr>
        <w:t xml:space="preserve"> siguiente</w:t>
      </w:r>
      <w:r w:rsidR="00DE7D39">
        <w:rPr>
          <w:rFonts w:ascii="Arial" w:hAnsi="Arial" w:cs="Arial"/>
          <w:b/>
        </w:rPr>
        <w:t>s</w:t>
      </w:r>
      <w:r w:rsidR="00DE7D39" w:rsidRPr="00650709">
        <w:rPr>
          <w:rFonts w:ascii="Arial" w:hAnsi="Arial" w:cs="Arial"/>
          <w:b/>
        </w:rPr>
        <w:t>:</w:t>
      </w:r>
    </w:p>
    <w:p w:rsidR="0001653C" w:rsidRDefault="00DE7D39" w:rsidP="006F7189">
      <w:pPr>
        <w:jc w:val="both"/>
        <w:rPr>
          <w:rFonts w:ascii="Arial" w:hAnsi="Arial" w:cs="Arial"/>
        </w:rPr>
      </w:pPr>
      <w:r>
        <w:rPr>
          <w:noProof/>
        </w:rPr>
        <w:drawing>
          <wp:inline distT="0" distB="0" distL="0" distR="0" wp14:anchorId="140D4AAE" wp14:editId="5881DEB9">
            <wp:extent cx="5534025" cy="2305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34025" cy="2305050"/>
                    </a:xfrm>
                    <a:prstGeom prst="rect">
                      <a:avLst/>
                    </a:prstGeom>
                  </pic:spPr>
                </pic:pic>
              </a:graphicData>
            </a:graphic>
          </wp:inline>
        </w:drawing>
      </w:r>
    </w:p>
    <w:p w:rsidR="00C7303E" w:rsidRDefault="00DE7D39" w:rsidP="006F7189">
      <w:pPr>
        <w:jc w:val="both"/>
        <w:rPr>
          <w:rFonts w:ascii="Arial" w:hAnsi="Arial" w:cs="Arial"/>
        </w:rPr>
      </w:pPr>
      <w:r>
        <w:rPr>
          <w:rFonts w:ascii="Arial" w:hAnsi="Arial" w:cs="Arial"/>
        </w:rPr>
        <w:t>R.- Se atendió la observación, mediante una mejora de la redacción, de tal modo que esta sección de la introducción del documento tenga mayor congruencia y facilite su comprensión.</w:t>
      </w:r>
    </w:p>
    <w:p w:rsidR="00C7303E" w:rsidRDefault="00C7303E" w:rsidP="006F7189">
      <w:pPr>
        <w:jc w:val="both"/>
        <w:rPr>
          <w:rFonts w:ascii="Arial" w:hAnsi="Arial" w:cs="Arial"/>
        </w:rPr>
      </w:pPr>
    </w:p>
    <w:p w:rsidR="00DF74B3" w:rsidRDefault="00DF74B3" w:rsidP="006F7189">
      <w:pPr>
        <w:jc w:val="both"/>
        <w:rPr>
          <w:rFonts w:ascii="Arial" w:hAnsi="Arial" w:cs="Arial"/>
        </w:rPr>
      </w:pPr>
      <w:r>
        <w:rPr>
          <w:rFonts w:ascii="Arial" w:hAnsi="Arial" w:cs="Arial"/>
        </w:rPr>
        <w:t xml:space="preserve">3.- </w:t>
      </w:r>
      <w:r w:rsidRPr="00650709">
        <w:rPr>
          <w:rFonts w:ascii="Arial" w:hAnsi="Arial" w:cs="Arial"/>
          <w:b/>
        </w:rPr>
        <w:t>En relación con el párrafo siguiente:</w:t>
      </w:r>
    </w:p>
    <w:p w:rsidR="00DE7D39" w:rsidRDefault="00DF74B3" w:rsidP="006F7189">
      <w:pPr>
        <w:jc w:val="both"/>
        <w:rPr>
          <w:rFonts w:ascii="Arial" w:hAnsi="Arial" w:cs="Arial"/>
        </w:rPr>
      </w:pPr>
      <w:r>
        <w:rPr>
          <w:noProof/>
        </w:rPr>
        <w:drawing>
          <wp:inline distT="0" distB="0" distL="0" distR="0" wp14:anchorId="366388A9" wp14:editId="7F719EA8">
            <wp:extent cx="5534025" cy="1343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34025" cy="1343025"/>
                    </a:xfrm>
                    <a:prstGeom prst="rect">
                      <a:avLst/>
                    </a:prstGeom>
                  </pic:spPr>
                </pic:pic>
              </a:graphicData>
            </a:graphic>
          </wp:inline>
        </w:drawing>
      </w:r>
      <w:r w:rsidR="00DE7D39">
        <w:rPr>
          <w:rFonts w:ascii="Arial" w:hAnsi="Arial" w:cs="Arial"/>
        </w:rPr>
        <w:t xml:space="preserve"> </w:t>
      </w:r>
    </w:p>
    <w:p w:rsidR="00DF74B3" w:rsidRDefault="00DF74B3" w:rsidP="006F7189">
      <w:pPr>
        <w:jc w:val="both"/>
        <w:rPr>
          <w:rFonts w:ascii="Arial" w:hAnsi="Arial" w:cs="Arial"/>
        </w:rPr>
      </w:pPr>
      <w:r>
        <w:rPr>
          <w:rFonts w:ascii="Arial" w:hAnsi="Arial" w:cs="Arial"/>
        </w:rPr>
        <w:t xml:space="preserve">R.- </w:t>
      </w:r>
      <w:r w:rsidR="00354042">
        <w:rPr>
          <w:rFonts w:ascii="Arial" w:hAnsi="Arial" w:cs="Arial"/>
        </w:rPr>
        <w:t>En el apartado de introducción se modificó la redacción de tal modo que se comprenda mejor las clasificaciones de condiciones de flujo en función de la rugosidad del fondo</w:t>
      </w:r>
      <w:r w:rsidR="00501E77">
        <w:rPr>
          <w:rFonts w:ascii="Arial" w:hAnsi="Arial" w:cs="Arial"/>
        </w:rPr>
        <w:t xml:space="preserve">, además, se </w:t>
      </w:r>
      <w:proofErr w:type="spellStart"/>
      <w:r w:rsidR="00501E77">
        <w:rPr>
          <w:rFonts w:ascii="Arial" w:hAnsi="Arial" w:cs="Arial"/>
        </w:rPr>
        <w:t>agrego</w:t>
      </w:r>
      <w:proofErr w:type="spellEnd"/>
      <w:r w:rsidR="00501E77">
        <w:rPr>
          <w:rFonts w:ascii="Arial" w:hAnsi="Arial" w:cs="Arial"/>
        </w:rPr>
        <w:t xml:space="preserve"> en el apartado de prueba experimental</w:t>
      </w:r>
      <w:r w:rsidR="006A5561">
        <w:rPr>
          <w:rFonts w:ascii="Arial" w:hAnsi="Arial" w:cs="Arial"/>
        </w:rPr>
        <w:t xml:space="preserve"> </w:t>
      </w:r>
      <w:r w:rsidR="00501E77">
        <w:rPr>
          <w:rFonts w:ascii="Arial" w:hAnsi="Arial" w:cs="Arial"/>
        </w:rPr>
        <w:t>la condición sobre la cual se realizó la medición (flujo con fondo incompletamente rugoso)</w:t>
      </w:r>
      <w:r w:rsidR="000A70CD">
        <w:rPr>
          <w:rFonts w:ascii="Arial" w:hAnsi="Arial" w:cs="Arial"/>
        </w:rPr>
        <w:t>. Con respecto a la figura 8 se anuló la línea del modelo de subcapa viscosa, a fin de evitar confusiones, ya que no se tienen valores en dicha zona</w:t>
      </w:r>
      <w:r w:rsidR="00B302E1">
        <w:rPr>
          <w:rFonts w:ascii="Arial" w:hAnsi="Arial" w:cs="Arial"/>
        </w:rPr>
        <w:t>.</w:t>
      </w:r>
    </w:p>
    <w:p w:rsidR="007231E5" w:rsidRDefault="007231E5" w:rsidP="006F7189">
      <w:pPr>
        <w:jc w:val="both"/>
        <w:rPr>
          <w:rFonts w:ascii="Arial" w:hAnsi="Arial" w:cs="Arial"/>
        </w:rPr>
      </w:pPr>
    </w:p>
    <w:p w:rsidR="007231E5" w:rsidRDefault="007231E5" w:rsidP="006F7189">
      <w:pPr>
        <w:jc w:val="both"/>
        <w:rPr>
          <w:rFonts w:ascii="Arial" w:hAnsi="Arial" w:cs="Arial"/>
        </w:rPr>
      </w:pPr>
      <w:r>
        <w:rPr>
          <w:rFonts w:ascii="Arial" w:hAnsi="Arial" w:cs="Arial"/>
        </w:rPr>
        <w:t xml:space="preserve">4.- </w:t>
      </w:r>
      <w:r w:rsidRPr="00650709">
        <w:rPr>
          <w:rFonts w:ascii="Arial" w:hAnsi="Arial" w:cs="Arial"/>
          <w:b/>
        </w:rPr>
        <w:t>En relación con el párrafo siguiente:</w:t>
      </w:r>
    </w:p>
    <w:p w:rsidR="007231E5" w:rsidRDefault="007231E5" w:rsidP="006F7189">
      <w:pPr>
        <w:jc w:val="both"/>
        <w:rPr>
          <w:rFonts w:ascii="Arial" w:hAnsi="Arial" w:cs="Arial"/>
        </w:rPr>
      </w:pPr>
      <w:r>
        <w:rPr>
          <w:noProof/>
        </w:rPr>
        <w:drawing>
          <wp:inline distT="0" distB="0" distL="0" distR="0" wp14:anchorId="643493C1" wp14:editId="2672C23D">
            <wp:extent cx="5495925" cy="7524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95925" cy="752475"/>
                    </a:xfrm>
                    <a:prstGeom prst="rect">
                      <a:avLst/>
                    </a:prstGeom>
                  </pic:spPr>
                </pic:pic>
              </a:graphicData>
            </a:graphic>
          </wp:inline>
        </w:drawing>
      </w:r>
    </w:p>
    <w:p w:rsidR="00BF7DB7" w:rsidRDefault="00BF7DB7" w:rsidP="006F7189">
      <w:pPr>
        <w:jc w:val="both"/>
        <w:rPr>
          <w:rFonts w:ascii="Arial" w:eastAsiaTheme="minorEastAsia" w:hAnsi="Arial" w:cs="Arial"/>
        </w:rPr>
      </w:pPr>
      <w:r>
        <w:rPr>
          <w:rFonts w:ascii="Arial" w:hAnsi="Arial" w:cs="Arial"/>
        </w:rPr>
        <w:t>R.- Se agreg</w:t>
      </w:r>
      <w:r w:rsidR="00486E35">
        <w:rPr>
          <w:rFonts w:ascii="Arial" w:hAnsi="Arial" w:cs="Arial"/>
        </w:rPr>
        <w:t>ó</w:t>
      </w:r>
      <w:r>
        <w:rPr>
          <w:rFonts w:ascii="Arial" w:hAnsi="Arial" w:cs="Arial"/>
        </w:rPr>
        <w:t xml:space="preserve"> la descripción de algunos términos que no eran explícitos en el texto. Además, se corrigió el valor de </w:t>
      </w:r>
      <m:oMath>
        <m:sSubSup>
          <m:sSubSupPr>
            <m:ctrlPr>
              <w:rPr>
                <w:rFonts w:ascii="Cambria Math" w:hAnsi="Cambria Math" w:cs="Arial"/>
                <w:i/>
              </w:rPr>
            </m:ctrlPr>
          </m:sSubSupPr>
          <m:e>
            <m:r>
              <w:rPr>
                <w:rFonts w:ascii="Cambria Math" w:hAnsi="Cambria Math" w:cs="Arial"/>
              </w:rPr>
              <m:t>k</m:t>
            </m:r>
          </m:e>
          <m:sub>
            <m:r>
              <w:rPr>
                <w:rFonts w:ascii="Cambria Math" w:hAnsi="Cambria Math" w:cs="Arial"/>
              </w:rPr>
              <m:t>s</m:t>
            </m:r>
          </m:sub>
          <m:sup>
            <m:r>
              <w:rPr>
                <w:rFonts w:ascii="Cambria Math" w:hAnsi="Cambria Math" w:cs="Arial"/>
              </w:rPr>
              <m:t>+</m:t>
            </m:r>
          </m:sup>
        </m:sSubSup>
      </m:oMath>
      <w:r>
        <w:rPr>
          <w:rFonts w:ascii="Arial" w:eastAsiaTheme="minorEastAsia" w:hAnsi="Arial" w:cs="Arial"/>
        </w:rPr>
        <w:t>.</w:t>
      </w:r>
      <w:bookmarkStart w:id="0" w:name="_GoBack"/>
      <w:bookmarkEnd w:id="0"/>
    </w:p>
    <w:p w:rsidR="00A53B6B" w:rsidRDefault="00A53B6B" w:rsidP="006F7189">
      <w:pPr>
        <w:jc w:val="both"/>
        <w:rPr>
          <w:rFonts w:ascii="Arial" w:hAnsi="Arial" w:cs="Arial"/>
        </w:rPr>
      </w:pPr>
    </w:p>
    <w:p w:rsidR="00A53B6B" w:rsidRDefault="00A2710F" w:rsidP="006F7189">
      <w:pPr>
        <w:jc w:val="both"/>
        <w:rPr>
          <w:rFonts w:ascii="Arial" w:hAnsi="Arial" w:cs="Arial"/>
        </w:rPr>
      </w:pPr>
      <w:r>
        <w:rPr>
          <w:rFonts w:ascii="Arial" w:hAnsi="Arial" w:cs="Arial"/>
        </w:rPr>
        <w:t xml:space="preserve">5.- </w:t>
      </w:r>
      <w:r w:rsidRPr="00650709">
        <w:rPr>
          <w:rFonts w:ascii="Arial" w:hAnsi="Arial" w:cs="Arial"/>
          <w:b/>
        </w:rPr>
        <w:t>En relación con el párrafo siguiente:</w:t>
      </w:r>
    </w:p>
    <w:p w:rsidR="00A2710F" w:rsidRDefault="00A2710F" w:rsidP="006F7189">
      <w:pPr>
        <w:jc w:val="both"/>
        <w:rPr>
          <w:rFonts w:ascii="Arial" w:hAnsi="Arial" w:cs="Arial"/>
        </w:rPr>
      </w:pPr>
      <w:r>
        <w:rPr>
          <w:noProof/>
        </w:rPr>
        <w:drawing>
          <wp:inline distT="0" distB="0" distL="0" distR="0" wp14:anchorId="1D7BFE7B" wp14:editId="2AD99562">
            <wp:extent cx="5476875" cy="7715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6875" cy="771525"/>
                    </a:xfrm>
                    <a:prstGeom prst="rect">
                      <a:avLst/>
                    </a:prstGeom>
                  </pic:spPr>
                </pic:pic>
              </a:graphicData>
            </a:graphic>
          </wp:inline>
        </w:drawing>
      </w:r>
    </w:p>
    <w:p w:rsidR="00A2710F" w:rsidRDefault="00A2710F" w:rsidP="006F7189">
      <w:pPr>
        <w:jc w:val="both"/>
        <w:rPr>
          <w:rFonts w:ascii="Arial" w:hAnsi="Arial" w:cs="Arial"/>
        </w:rPr>
      </w:pPr>
      <w:r>
        <w:rPr>
          <w:noProof/>
        </w:rPr>
        <w:drawing>
          <wp:inline distT="0" distB="0" distL="0" distR="0" wp14:anchorId="7CE3761C" wp14:editId="039E1729">
            <wp:extent cx="5495925" cy="6286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95925" cy="628650"/>
                    </a:xfrm>
                    <a:prstGeom prst="rect">
                      <a:avLst/>
                    </a:prstGeom>
                  </pic:spPr>
                </pic:pic>
              </a:graphicData>
            </a:graphic>
          </wp:inline>
        </w:drawing>
      </w:r>
    </w:p>
    <w:p w:rsidR="00A2710F" w:rsidRPr="00620EC1" w:rsidRDefault="00D35761" w:rsidP="006F7189">
      <w:pPr>
        <w:jc w:val="both"/>
        <w:rPr>
          <w:rFonts w:ascii="Arial" w:hAnsi="Arial" w:cs="Arial"/>
        </w:rPr>
      </w:pPr>
      <w:r>
        <w:rPr>
          <w:rFonts w:ascii="Arial" w:hAnsi="Arial" w:cs="Arial"/>
        </w:rPr>
        <w:t xml:space="preserve">R.- </w:t>
      </w:r>
      <w:r w:rsidR="00F47ED7">
        <w:rPr>
          <w:rFonts w:ascii="Arial" w:hAnsi="Arial" w:cs="Arial"/>
        </w:rPr>
        <w:t xml:space="preserve">Los límites máximos y mínimos donde la ley logarítmica </w:t>
      </w:r>
      <w:r w:rsidR="00133C87">
        <w:rPr>
          <w:rFonts w:ascii="Arial" w:hAnsi="Arial" w:cs="Arial"/>
        </w:rPr>
        <w:t>describe el perfil de velocidades se enuncia</w:t>
      </w:r>
      <w:r w:rsidR="00D75F7F">
        <w:rPr>
          <w:rFonts w:ascii="Arial" w:hAnsi="Arial" w:cs="Arial"/>
        </w:rPr>
        <w:t>n</w:t>
      </w:r>
      <w:r w:rsidR="00133C87">
        <w:rPr>
          <w:rFonts w:ascii="Arial" w:hAnsi="Arial" w:cs="Arial"/>
        </w:rPr>
        <w:t xml:space="preserve"> en el apartado de introducción </w:t>
      </w:r>
      <w:r w:rsidR="00D75F7F">
        <w:rPr>
          <w:rFonts w:ascii="Arial" w:hAnsi="Arial" w:cs="Arial"/>
        </w:rPr>
        <w:t>de</w:t>
      </w:r>
      <w:r w:rsidR="00133C87">
        <w:rPr>
          <w:rFonts w:ascii="Arial" w:hAnsi="Arial" w:cs="Arial"/>
        </w:rPr>
        <w:t xml:space="preserve"> forma breve, únicamente se puede recurrir a la publicación de </w:t>
      </w:r>
      <w:proofErr w:type="spellStart"/>
      <w:r w:rsidR="00133C87">
        <w:rPr>
          <w:rFonts w:ascii="Arial" w:hAnsi="Arial" w:cs="Arial"/>
        </w:rPr>
        <w:t>Segalini</w:t>
      </w:r>
      <w:proofErr w:type="spellEnd"/>
      <w:r w:rsidR="00133C87">
        <w:rPr>
          <w:rFonts w:ascii="Arial" w:hAnsi="Arial" w:cs="Arial"/>
        </w:rPr>
        <w:t xml:space="preserve"> et al. (2013) para conocer en extenso la justificación de estos límites.</w:t>
      </w:r>
      <w:r w:rsidR="00D75F7F">
        <w:rPr>
          <w:rFonts w:ascii="Arial" w:hAnsi="Arial" w:cs="Arial"/>
        </w:rPr>
        <w:t xml:space="preserve"> Además, se agregó una mejor descripción acerca del cálculo de </w:t>
      </w:r>
      <m:oMath>
        <m:sSup>
          <m:sSupPr>
            <m:ctrlPr>
              <w:rPr>
                <w:rFonts w:ascii="Cambria Math" w:hAnsi="Cambria Math" w:cs="Arial"/>
                <w:i/>
              </w:rPr>
            </m:ctrlPr>
          </m:sSupPr>
          <m:e>
            <m:r>
              <w:rPr>
                <w:rFonts w:ascii="Cambria Math" w:hAnsi="Cambria Math" w:cs="Arial"/>
              </w:rPr>
              <m:t>0.3δ</m:t>
            </m:r>
          </m:e>
          <m:sup>
            <m:r>
              <w:rPr>
                <w:rFonts w:ascii="Cambria Math" w:hAnsi="Cambria Math" w:cs="Arial"/>
              </w:rPr>
              <m:t>+</m:t>
            </m:r>
          </m:sup>
        </m:sSup>
      </m:oMath>
      <w:r w:rsidR="00D75F7F">
        <w:rPr>
          <w:rFonts w:ascii="Arial" w:eastAsiaTheme="minorEastAsia" w:hAnsi="Arial" w:cs="Arial"/>
        </w:rPr>
        <w:t>.</w:t>
      </w:r>
    </w:p>
    <w:sectPr w:rsidR="00A2710F" w:rsidRPr="00620EC1" w:rsidSect="00574449">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77"/>
    <w:rsid w:val="00004EA3"/>
    <w:rsid w:val="0001653C"/>
    <w:rsid w:val="000A70CD"/>
    <w:rsid w:val="00133C87"/>
    <w:rsid w:val="0025619C"/>
    <w:rsid w:val="0034728F"/>
    <w:rsid w:val="00354042"/>
    <w:rsid w:val="00486E35"/>
    <w:rsid w:val="00501E77"/>
    <w:rsid w:val="00574449"/>
    <w:rsid w:val="00584D77"/>
    <w:rsid w:val="005D0B9D"/>
    <w:rsid w:val="00620EC1"/>
    <w:rsid w:val="00650709"/>
    <w:rsid w:val="00667889"/>
    <w:rsid w:val="0068125C"/>
    <w:rsid w:val="006A5561"/>
    <w:rsid w:val="006C6973"/>
    <w:rsid w:val="006F7189"/>
    <w:rsid w:val="007231E5"/>
    <w:rsid w:val="007B0E6C"/>
    <w:rsid w:val="007E1028"/>
    <w:rsid w:val="00A2710F"/>
    <w:rsid w:val="00A53B6B"/>
    <w:rsid w:val="00B302E1"/>
    <w:rsid w:val="00BE1B46"/>
    <w:rsid w:val="00BF7DB7"/>
    <w:rsid w:val="00C61931"/>
    <w:rsid w:val="00C7303E"/>
    <w:rsid w:val="00C75975"/>
    <w:rsid w:val="00D35761"/>
    <w:rsid w:val="00D75F7F"/>
    <w:rsid w:val="00DE7D39"/>
    <w:rsid w:val="00DF74B3"/>
    <w:rsid w:val="00E04FE6"/>
    <w:rsid w:val="00E71C52"/>
    <w:rsid w:val="00F47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FBD0"/>
  <w15:chartTrackingRefBased/>
  <w15:docId w15:val="{660B0234-85F2-44C4-91C8-3A2F1EEE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F7D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Mendoza González</dc:creator>
  <cp:keywords/>
  <dc:description/>
  <cp:lastModifiedBy>Ángel Mendoza González</cp:lastModifiedBy>
  <cp:revision>39</cp:revision>
  <dcterms:created xsi:type="dcterms:W3CDTF">2019-01-10T20:31:00Z</dcterms:created>
  <dcterms:modified xsi:type="dcterms:W3CDTF">2019-01-14T23:55:00Z</dcterms:modified>
</cp:coreProperties>
</file>